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120" w:rsidRDefault="00BD29C6">
      <w:pPr>
        <w:spacing w:after="0" w:line="259" w:lineRule="auto"/>
        <w:ind w:left="13" w:right="0" w:firstLine="0"/>
        <w:jc w:val="center"/>
      </w:pPr>
      <w:r>
        <w:rPr>
          <w:b/>
          <w:sz w:val="32"/>
        </w:rPr>
        <w:t xml:space="preserve">ÉCHELLE D’AUTOÉVALUATION </w:t>
      </w:r>
    </w:p>
    <w:p w:rsidR="00000120" w:rsidRDefault="002E5DAF">
      <w:pPr>
        <w:spacing w:after="0" w:line="259" w:lineRule="auto"/>
        <w:ind w:left="86" w:right="0" w:firstLine="0"/>
        <w:jc w:val="center"/>
      </w:pPr>
      <w:r>
        <w:rPr>
          <w:b/>
          <w:i/>
          <w:sz w:val="26"/>
        </w:rPr>
        <w:t>Source : Tennis Canada</w:t>
      </w:r>
      <w:r w:rsidR="00BD29C6">
        <w:rPr>
          <w:b/>
          <w:i/>
          <w:sz w:val="26"/>
        </w:rPr>
        <w:t xml:space="preserve"> </w:t>
      </w:r>
    </w:p>
    <w:p w:rsidR="00000120" w:rsidRDefault="00000120">
      <w:pPr>
        <w:spacing w:after="2" w:line="259" w:lineRule="auto"/>
        <w:ind w:left="0" w:right="0" w:firstLine="0"/>
      </w:pPr>
    </w:p>
    <w:p w:rsidR="00000120" w:rsidRPr="002E5DAF" w:rsidRDefault="00BD29C6">
      <w:pPr>
        <w:spacing w:after="18" w:line="259" w:lineRule="auto"/>
        <w:ind w:left="-5" w:right="0"/>
        <w:rPr>
          <w:b/>
          <w:color w:val="auto"/>
        </w:rPr>
      </w:pPr>
      <w:r w:rsidRPr="002E5DAF">
        <w:rPr>
          <w:b/>
          <w:i/>
          <w:color w:val="auto"/>
          <w:sz w:val="26"/>
        </w:rPr>
        <w:t xml:space="preserve">Objectif : </w:t>
      </w:r>
    </w:p>
    <w:p w:rsidR="00000120" w:rsidRDefault="00BD29C6">
      <w:pPr>
        <w:numPr>
          <w:ilvl w:val="0"/>
          <w:numId w:val="1"/>
        </w:numPr>
        <w:ind w:right="0" w:hanging="360"/>
      </w:pPr>
      <w:r>
        <w:t xml:space="preserve">Trouver votre propre niveau d’habileté au tennis. </w:t>
      </w:r>
    </w:p>
    <w:p w:rsidR="00422553" w:rsidRDefault="00422553" w:rsidP="00422553">
      <w:pPr>
        <w:pStyle w:val="Paragraphedeliste"/>
        <w:numPr>
          <w:ilvl w:val="0"/>
          <w:numId w:val="1"/>
        </w:numPr>
        <w:spacing w:after="18" w:line="259" w:lineRule="auto"/>
        <w:ind w:right="0" w:hanging="360"/>
      </w:pPr>
      <w:r>
        <w:t xml:space="preserve">Trouver des joueurs d’un calibre semblable pour accroître le plaisir de jouer. </w:t>
      </w:r>
    </w:p>
    <w:p w:rsidR="00422553" w:rsidRDefault="00422553" w:rsidP="00422553">
      <w:pPr>
        <w:numPr>
          <w:ilvl w:val="0"/>
          <w:numId w:val="1"/>
        </w:numPr>
        <w:spacing w:after="60"/>
        <w:ind w:right="0" w:hanging="360"/>
      </w:pPr>
      <w:r>
        <w:t xml:space="preserve">Affronter un adversaire plus fort en utilisant un handicap afin de rendre la partie plus captivante. </w:t>
      </w:r>
    </w:p>
    <w:p w:rsidR="00422553" w:rsidRDefault="00422553" w:rsidP="00422553">
      <w:pPr>
        <w:numPr>
          <w:ilvl w:val="0"/>
          <w:numId w:val="1"/>
        </w:numPr>
        <w:ind w:right="0" w:hanging="360"/>
      </w:pPr>
      <w:r>
        <w:t xml:space="preserve">Suivre des leçons de groupe ou faire partie d’une ligne composée de joueurs de calibre similaire au vôtre. </w:t>
      </w:r>
    </w:p>
    <w:p w:rsidR="00422553" w:rsidRDefault="00422553" w:rsidP="00422553">
      <w:pPr>
        <w:spacing w:after="18" w:line="259" w:lineRule="auto"/>
        <w:ind w:left="-5" w:right="0"/>
      </w:pPr>
    </w:p>
    <w:p w:rsidR="00422553" w:rsidRPr="002E5DAF" w:rsidRDefault="00422553" w:rsidP="00422553">
      <w:pPr>
        <w:spacing w:after="18" w:line="259" w:lineRule="auto"/>
        <w:ind w:left="-5" w:right="0"/>
        <w:rPr>
          <w:color w:val="auto"/>
        </w:rPr>
      </w:pPr>
      <w:r w:rsidRPr="002E5DAF">
        <w:rPr>
          <w:b/>
          <w:i/>
          <w:color w:val="auto"/>
          <w:sz w:val="26"/>
        </w:rPr>
        <w:t xml:space="preserve">Principes d’autoévaluation : </w:t>
      </w:r>
    </w:p>
    <w:p w:rsidR="00422553" w:rsidRDefault="00422553" w:rsidP="00422553">
      <w:pPr>
        <w:numPr>
          <w:ilvl w:val="0"/>
          <w:numId w:val="1"/>
        </w:numPr>
        <w:ind w:right="0" w:hanging="360"/>
      </w:pPr>
      <w:r>
        <w:t xml:space="preserve">Connaître l’échelle d’autoévaluation. </w:t>
      </w:r>
    </w:p>
    <w:p w:rsidR="00422553" w:rsidRDefault="00422553" w:rsidP="00422553">
      <w:pPr>
        <w:numPr>
          <w:ilvl w:val="0"/>
          <w:numId w:val="1"/>
        </w:numPr>
        <w:ind w:right="0" w:hanging="360"/>
      </w:pPr>
      <w:r>
        <w:t xml:space="preserve">Consultez l’échelle de haut en bas, à partir du niveau 1.0. </w:t>
      </w:r>
    </w:p>
    <w:p w:rsidR="00422553" w:rsidRDefault="00422553" w:rsidP="00422553">
      <w:pPr>
        <w:numPr>
          <w:ilvl w:val="0"/>
          <w:numId w:val="1"/>
        </w:numPr>
        <w:ind w:right="0" w:hanging="360"/>
      </w:pPr>
      <w:r>
        <w:t xml:space="preserve">Découvrez le calibre qui décrit le mieux votre jeu. </w:t>
      </w:r>
    </w:p>
    <w:p w:rsidR="00422553" w:rsidRDefault="00422553" w:rsidP="00422553">
      <w:pPr>
        <w:numPr>
          <w:ilvl w:val="0"/>
          <w:numId w:val="1"/>
        </w:numPr>
        <w:ind w:right="0" w:hanging="360"/>
      </w:pPr>
      <w:r>
        <w:t xml:space="preserve">Demandez à l’instructeur ou l’entraîneur de vérifier votre autoévaluation, si cela peut vous aider. </w:t>
      </w:r>
    </w:p>
    <w:p w:rsidR="00422553" w:rsidRDefault="00422553" w:rsidP="00422553">
      <w:pPr>
        <w:numPr>
          <w:ilvl w:val="0"/>
          <w:numId w:val="1"/>
        </w:numPr>
        <w:ind w:right="0" w:hanging="360"/>
      </w:pPr>
      <w:r>
        <w:t xml:space="preserve">Souvenez-vous : plus vous jouerez et vous vous améliorez, plus vous hausserez votre calibre. </w:t>
      </w:r>
    </w:p>
    <w:p w:rsidR="00422553" w:rsidRDefault="00422553" w:rsidP="00422553">
      <w:pPr>
        <w:numPr>
          <w:ilvl w:val="0"/>
          <w:numId w:val="1"/>
        </w:numPr>
        <w:ind w:right="0" w:hanging="360"/>
      </w:pPr>
      <w:r>
        <w:t xml:space="preserve">Réévaluez-vous périodiquement. </w:t>
      </w:r>
    </w:p>
    <w:p w:rsidR="00422553" w:rsidRDefault="00422553" w:rsidP="00911E1F">
      <w:pPr>
        <w:numPr>
          <w:ilvl w:val="0"/>
          <w:numId w:val="1"/>
        </w:numPr>
        <w:ind w:right="0" w:hanging="360"/>
      </w:pPr>
      <w:r>
        <w:t xml:space="preserve">Vos performances lors de rencontres amicales ou compétitives vous permettront de juger de la justesse de votre autoévaluation. </w:t>
      </w:r>
    </w:p>
    <w:p w:rsidR="00911E1F" w:rsidRDefault="00911E1F" w:rsidP="00911E1F">
      <w:pPr>
        <w:ind w:left="0" w:right="0" w:firstLine="0"/>
      </w:pPr>
    </w:p>
    <w:tbl>
      <w:tblPr>
        <w:tblStyle w:val="TableGrid"/>
        <w:tblpPr w:vertAnchor="text" w:horzAnchor="page" w:tblpXSpec="center" w:tblpY="1"/>
        <w:tblOverlap w:val="never"/>
        <w:tblW w:w="9467" w:type="dxa"/>
        <w:tblInd w:w="0" w:type="dxa"/>
        <w:tblCellMar>
          <w:left w:w="107" w:type="dxa"/>
          <w:right w:w="62" w:type="dxa"/>
        </w:tblCellMar>
        <w:tblLook w:val="04A0" w:firstRow="1" w:lastRow="0" w:firstColumn="1" w:lastColumn="0" w:noHBand="0" w:noVBand="1"/>
      </w:tblPr>
      <w:tblGrid>
        <w:gridCol w:w="1770"/>
        <w:gridCol w:w="1772"/>
        <w:gridCol w:w="1876"/>
        <w:gridCol w:w="1890"/>
        <w:gridCol w:w="2159"/>
      </w:tblGrid>
      <w:tr w:rsidR="00000120" w:rsidTr="00BD29C6">
        <w:trPr>
          <w:trHeight w:val="836"/>
        </w:trPr>
        <w:tc>
          <w:tcPr>
            <w:tcW w:w="177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rsidP="00911E1F">
            <w:pPr>
              <w:spacing w:after="0" w:line="259" w:lineRule="auto"/>
              <w:ind w:left="0" w:right="0" w:firstLine="0"/>
            </w:pPr>
            <w:r>
              <w:rPr>
                <w:b/>
              </w:rPr>
              <w:t xml:space="preserve">CALIBRE </w:t>
            </w:r>
          </w:p>
        </w:tc>
        <w:tc>
          <w:tcPr>
            <w:tcW w:w="1772"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rsidP="00911E1F">
            <w:pPr>
              <w:spacing w:after="0" w:line="238" w:lineRule="auto"/>
              <w:ind w:left="1" w:right="0" w:firstLine="0"/>
            </w:pPr>
            <w:r>
              <w:rPr>
                <w:b/>
              </w:rPr>
              <w:t>COUPS DE FOND (</w:t>
            </w:r>
            <w:r>
              <w:rPr>
                <w:b/>
                <w:i/>
              </w:rPr>
              <w:t xml:space="preserve">coup </w:t>
            </w:r>
          </w:p>
          <w:p w:rsidR="00000120" w:rsidRDefault="00BD29C6" w:rsidP="00911E1F">
            <w:pPr>
              <w:spacing w:after="0" w:line="259" w:lineRule="auto"/>
              <w:ind w:left="1" w:right="0" w:firstLine="0"/>
            </w:pPr>
            <w:r>
              <w:rPr>
                <w:b/>
                <w:i/>
              </w:rPr>
              <w:t>droit et revers</w:t>
            </w:r>
            <w:r>
              <w:rPr>
                <w:b/>
              </w:rPr>
              <w:t xml:space="preserve">) </w:t>
            </w:r>
          </w:p>
        </w:tc>
        <w:tc>
          <w:tcPr>
            <w:tcW w:w="1876"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rsidP="00911E1F">
            <w:pPr>
              <w:spacing w:after="0" w:line="259" w:lineRule="auto"/>
              <w:ind w:left="1" w:right="0" w:firstLine="0"/>
            </w:pPr>
            <w:r>
              <w:rPr>
                <w:b/>
              </w:rPr>
              <w:t xml:space="preserve">RETOUR DE SERVICE </w:t>
            </w:r>
          </w:p>
        </w:tc>
        <w:tc>
          <w:tcPr>
            <w:tcW w:w="189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rsidP="00911E1F">
            <w:pPr>
              <w:spacing w:after="0" w:line="259" w:lineRule="auto"/>
              <w:ind w:left="0" w:right="0" w:firstLine="0"/>
              <w:jc w:val="both"/>
            </w:pPr>
            <w:r>
              <w:rPr>
                <w:b/>
              </w:rPr>
              <w:t xml:space="preserve">JEU DE FILET </w:t>
            </w:r>
          </w:p>
          <w:p w:rsidR="00000120" w:rsidRDefault="00BD29C6" w:rsidP="00911E1F">
            <w:pPr>
              <w:spacing w:after="0" w:line="259" w:lineRule="auto"/>
              <w:ind w:left="0" w:right="0" w:firstLine="0"/>
            </w:pPr>
            <w:r>
              <w:rPr>
                <w:b/>
              </w:rPr>
              <w:t>(</w:t>
            </w:r>
            <w:r>
              <w:rPr>
                <w:b/>
                <w:i/>
              </w:rPr>
              <w:t xml:space="preserve">volée et smash) </w:t>
            </w:r>
          </w:p>
        </w:tc>
        <w:tc>
          <w:tcPr>
            <w:tcW w:w="2159"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rsidP="00911E1F">
            <w:pPr>
              <w:spacing w:after="0" w:line="259" w:lineRule="auto"/>
              <w:ind w:left="1" w:right="0" w:firstLine="0"/>
            </w:pPr>
            <w:r>
              <w:rPr>
                <w:b/>
              </w:rPr>
              <w:t xml:space="preserve">SERVICE </w:t>
            </w:r>
          </w:p>
        </w:tc>
      </w:tr>
      <w:tr w:rsidR="00000120" w:rsidTr="00BD29C6">
        <w:trPr>
          <w:trHeight w:val="379"/>
        </w:trPr>
        <w:tc>
          <w:tcPr>
            <w:tcW w:w="9467"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rsidP="00911E1F">
            <w:pPr>
              <w:spacing w:after="0" w:line="259" w:lineRule="auto"/>
              <w:ind w:left="0" w:right="0" w:firstLine="0"/>
            </w:pPr>
            <w:r>
              <w:rPr>
                <w:b/>
              </w:rPr>
              <w:t xml:space="preserve">           1.0</w:t>
            </w:r>
            <w:r>
              <w:rPr>
                <w:b/>
                <w:sz w:val="20"/>
              </w:rPr>
              <w:t xml:space="preserve">                Le joueur commence à jouer au tennis</w:t>
            </w:r>
            <w:r w:rsidR="00C70C55">
              <w:rPr>
                <w:b/>
                <w:sz w:val="20"/>
              </w:rPr>
              <w:t>.</w:t>
            </w:r>
            <w:r>
              <w:rPr>
                <w:b/>
                <w:sz w:val="20"/>
              </w:rPr>
              <w:t xml:space="preserve"> </w:t>
            </w:r>
          </w:p>
        </w:tc>
      </w:tr>
      <w:tr w:rsidR="00000120" w:rsidTr="00911E1F">
        <w:trPr>
          <w:trHeight w:val="516"/>
        </w:trPr>
        <w:tc>
          <w:tcPr>
            <w:tcW w:w="9467" w:type="dxa"/>
            <w:gridSpan w:val="5"/>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rsidP="00911E1F">
            <w:pPr>
              <w:spacing w:after="0" w:line="259" w:lineRule="auto"/>
              <w:ind w:left="0" w:right="0" w:firstLine="0"/>
            </w:pPr>
            <w:r>
              <w:rPr>
                <w:b/>
              </w:rPr>
              <w:t xml:space="preserve">           1.5</w:t>
            </w:r>
            <w:r>
              <w:rPr>
                <w:b/>
                <w:sz w:val="20"/>
              </w:rPr>
              <w:t xml:space="preserve">                Le joueur commence à échanger</w:t>
            </w:r>
            <w:r w:rsidR="00C70C55">
              <w:rPr>
                <w:b/>
                <w:sz w:val="20"/>
              </w:rPr>
              <w:t>,</w:t>
            </w:r>
            <w:r>
              <w:rPr>
                <w:b/>
                <w:sz w:val="20"/>
              </w:rPr>
              <w:t xml:space="preserve"> mais éprouve de la difficulté en                                           fond de terrain et au service </w:t>
            </w:r>
          </w:p>
        </w:tc>
      </w:tr>
      <w:tr w:rsidR="00000120" w:rsidTr="00BD29C6">
        <w:trPr>
          <w:trHeight w:val="2538"/>
        </w:trPr>
        <w:tc>
          <w:tcPr>
            <w:tcW w:w="17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rsidP="00911E1F">
            <w:pPr>
              <w:spacing w:after="0" w:line="259" w:lineRule="auto"/>
              <w:ind w:left="0" w:right="110" w:firstLine="0"/>
              <w:jc w:val="center"/>
            </w:pPr>
            <w:r>
              <w:rPr>
                <w:b/>
              </w:rPr>
              <w:t xml:space="preserve">2.0 </w:t>
            </w:r>
          </w:p>
        </w:tc>
        <w:tc>
          <w:tcPr>
            <w:tcW w:w="17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rsidP="00911E1F">
            <w:pPr>
              <w:spacing w:after="0" w:line="259" w:lineRule="auto"/>
              <w:ind w:left="1" w:right="66" w:firstLine="0"/>
            </w:pPr>
            <w:r>
              <w:rPr>
                <w:b/>
                <w:sz w:val="20"/>
              </w:rPr>
              <w:t>Réussi</w:t>
            </w:r>
            <w:r w:rsidR="00C70C55">
              <w:rPr>
                <w:b/>
                <w:sz w:val="20"/>
              </w:rPr>
              <w:t>t</w:t>
            </w:r>
            <w:r>
              <w:rPr>
                <w:b/>
                <w:sz w:val="20"/>
              </w:rPr>
              <w:t xml:space="preserve"> à échanger en fond de terrain sur balles faciles. Constance limitée par l’absence de contrôle de balle. Le joueur esquive souvent un revers au profit d’un coup droit. </w:t>
            </w:r>
          </w:p>
        </w:tc>
        <w:tc>
          <w:tcPr>
            <w:tcW w:w="18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rsidP="00911E1F">
            <w:pPr>
              <w:spacing w:after="0" w:line="259" w:lineRule="auto"/>
              <w:ind w:left="1" w:right="22" w:firstLine="0"/>
            </w:pPr>
            <w:r>
              <w:rPr>
                <w:b/>
                <w:sz w:val="20"/>
              </w:rPr>
              <w:t xml:space="preserve">Le joueur se positionne pour protéger ses faiblesses. Son retour est irrégulier. </w:t>
            </w:r>
          </w:p>
        </w:tc>
        <w:tc>
          <w:tcPr>
            <w:tcW w:w="18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rsidP="00911E1F">
            <w:pPr>
              <w:spacing w:after="0" w:line="259" w:lineRule="auto"/>
              <w:ind w:left="0" w:right="105" w:firstLine="0"/>
            </w:pPr>
            <w:r>
              <w:rPr>
                <w:b/>
                <w:sz w:val="20"/>
              </w:rPr>
              <w:t>En simple, le joueur évite de prendre le filet. En double, il sait où se placer sur le terrain</w:t>
            </w:r>
            <w:r w:rsidR="00C70C55">
              <w:rPr>
                <w:b/>
                <w:sz w:val="20"/>
              </w:rPr>
              <w:t> </w:t>
            </w:r>
            <w:r>
              <w:rPr>
                <w:b/>
                <w:sz w:val="20"/>
              </w:rPr>
              <w:t>; il est à l’aise uniquement avec les volées du coup droit</w:t>
            </w:r>
            <w:r w:rsidR="00C70C55">
              <w:rPr>
                <w:b/>
                <w:sz w:val="20"/>
              </w:rPr>
              <w:t> </w:t>
            </w:r>
            <w:r>
              <w:rPr>
                <w:b/>
                <w:sz w:val="20"/>
              </w:rPr>
              <w:t>; il évit</w:t>
            </w:r>
            <w:r w:rsidR="00C70C55">
              <w:rPr>
                <w:b/>
                <w:sz w:val="20"/>
              </w:rPr>
              <w:t>e</w:t>
            </w:r>
            <w:r>
              <w:rPr>
                <w:b/>
                <w:sz w:val="20"/>
              </w:rPr>
              <w:t xml:space="preserve"> la volée du revers et le smash. </w:t>
            </w:r>
          </w:p>
        </w:tc>
        <w:tc>
          <w:tcPr>
            <w:tcW w:w="21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rsidP="00911E1F">
            <w:pPr>
              <w:spacing w:after="0" w:line="259" w:lineRule="auto"/>
              <w:ind w:left="1" w:right="83" w:firstLine="0"/>
            </w:pPr>
            <w:r>
              <w:rPr>
                <w:b/>
                <w:sz w:val="20"/>
              </w:rPr>
              <w:t xml:space="preserve">Les doubles fautes sont fréquentes. Le joueur éprouve de la difficulté avec le lancer de balle. </w:t>
            </w:r>
          </w:p>
        </w:tc>
      </w:tr>
    </w:tbl>
    <w:tbl>
      <w:tblPr>
        <w:tblStyle w:val="TableGrid"/>
        <w:tblW w:w="9467" w:type="dxa"/>
        <w:jc w:val="center"/>
        <w:tblInd w:w="0" w:type="dxa"/>
        <w:tblLayout w:type="fixed"/>
        <w:tblCellMar>
          <w:left w:w="107" w:type="dxa"/>
          <w:right w:w="63" w:type="dxa"/>
        </w:tblCellMar>
        <w:tblLook w:val="04A0" w:firstRow="1" w:lastRow="0" w:firstColumn="1" w:lastColumn="0" w:noHBand="0" w:noVBand="1"/>
      </w:tblPr>
      <w:tblGrid>
        <w:gridCol w:w="1770"/>
        <w:gridCol w:w="1772"/>
        <w:gridCol w:w="1876"/>
        <w:gridCol w:w="1890"/>
        <w:gridCol w:w="2159"/>
      </w:tblGrid>
      <w:tr w:rsidR="00000120" w:rsidTr="00911E1F">
        <w:trPr>
          <w:trHeight w:val="2538"/>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rsidP="009D7FA0">
            <w:pPr>
              <w:spacing w:after="0" w:line="259" w:lineRule="auto"/>
              <w:ind w:left="0" w:right="47" w:firstLine="0"/>
              <w:jc w:val="center"/>
            </w:pPr>
            <w:bookmarkStart w:id="0" w:name="_GoBack"/>
            <w:r>
              <w:rPr>
                <w:b/>
              </w:rPr>
              <w:lastRenderedPageBreak/>
              <w:t>2.5</w:t>
            </w:r>
          </w:p>
        </w:tc>
        <w:tc>
          <w:tcPr>
            <w:tcW w:w="1772"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14" w:firstLine="0"/>
            </w:pPr>
            <w:r>
              <w:rPr>
                <w:b/>
                <w:sz w:val="20"/>
              </w:rPr>
              <w:t>Réussi</w:t>
            </w:r>
            <w:r w:rsidR="00C70C55">
              <w:rPr>
                <w:b/>
                <w:sz w:val="20"/>
              </w:rPr>
              <w:t>t</w:t>
            </w:r>
            <w:r>
              <w:rPr>
                <w:b/>
                <w:sz w:val="20"/>
              </w:rPr>
              <w:t xml:space="preserve"> des échanges de 10 coups consécutifs en fond de terrain, en utilisant surtout le coup droit. La trajectoire de balle est arquée et la vitesse est modérée. </w:t>
            </w:r>
          </w:p>
        </w:tc>
        <w:tc>
          <w:tcPr>
            <w:tcW w:w="1876"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25" w:firstLine="0"/>
            </w:pPr>
            <w:r>
              <w:rPr>
                <w:b/>
                <w:sz w:val="20"/>
              </w:rPr>
              <w:t xml:space="preserve">En simple, le joueur retourne vers le centre du terrain. En double, il éprouve de la difficulté à retourner en croisé. </w:t>
            </w:r>
          </w:p>
        </w:tc>
        <w:tc>
          <w:tcPr>
            <w:tcW w:w="189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0" w:right="39" w:firstLine="0"/>
            </w:pPr>
            <w:r>
              <w:rPr>
                <w:b/>
                <w:sz w:val="20"/>
              </w:rPr>
              <w:t>Le joueur monte au filet à l’entraînement</w:t>
            </w:r>
            <w:r w:rsidR="00C70C55">
              <w:rPr>
                <w:b/>
                <w:sz w:val="20"/>
              </w:rPr>
              <w:t>,</w:t>
            </w:r>
            <w:r>
              <w:rPr>
                <w:b/>
                <w:sz w:val="20"/>
              </w:rPr>
              <w:t xml:space="preserve"> mais hésite à le faire en situation de match. </w:t>
            </w:r>
          </w:p>
        </w:tc>
        <w:tc>
          <w:tcPr>
            <w:tcW w:w="2159"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0" w:firstLine="0"/>
            </w:pPr>
            <w:r>
              <w:rPr>
                <w:b/>
                <w:sz w:val="20"/>
              </w:rPr>
              <w:t xml:space="preserve">Réussit 1re balle à moins de 50%. Le deuxième service se limite à une “mise en jeu”.  </w:t>
            </w:r>
          </w:p>
        </w:tc>
      </w:tr>
      <w:tr w:rsidR="00000120" w:rsidTr="00BD29C6">
        <w:trPr>
          <w:trHeight w:val="3461"/>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0" w:right="47" w:firstLine="0"/>
              <w:jc w:val="center"/>
            </w:pPr>
            <w:r>
              <w:rPr>
                <w:b/>
              </w:rPr>
              <w:t xml:space="preserve">3.0 </w:t>
            </w:r>
          </w:p>
        </w:tc>
        <w:tc>
          <w:tcPr>
            <w:tcW w:w="17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39" w:lineRule="auto"/>
              <w:ind w:left="1" w:right="31" w:firstLine="0"/>
            </w:pPr>
            <w:r>
              <w:rPr>
                <w:b/>
                <w:sz w:val="20"/>
              </w:rPr>
              <w:t>Réussi</w:t>
            </w:r>
            <w:r w:rsidR="00C70C55">
              <w:rPr>
                <w:b/>
                <w:sz w:val="20"/>
              </w:rPr>
              <w:t>t</w:t>
            </w:r>
            <w:r>
              <w:rPr>
                <w:b/>
                <w:sz w:val="20"/>
              </w:rPr>
              <w:t xml:space="preserve"> des échanges de 10 coups consécutifs (autant en coup droit qu’en revers). À cadence modérée, </w:t>
            </w:r>
          </w:p>
          <w:p w:rsidR="00000120" w:rsidRDefault="00BD29C6">
            <w:pPr>
              <w:spacing w:after="0" w:line="259" w:lineRule="auto"/>
              <w:ind w:left="1" w:right="48" w:firstLine="0"/>
            </w:pPr>
            <w:r>
              <w:rPr>
                <w:b/>
                <w:sz w:val="20"/>
              </w:rPr>
              <w:t xml:space="preserve">le joueur retourne les balles hautes, courtes ou éloignées avec plus d’efficacité sur son coup dominant. </w:t>
            </w:r>
          </w:p>
        </w:tc>
        <w:tc>
          <w:tcPr>
            <w:tcW w:w="18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1" w:right="0" w:firstLine="0"/>
            </w:pPr>
            <w:r>
              <w:rPr>
                <w:b/>
                <w:sz w:val="20"/>
              </w:rPr>
              <w:t xml:space="preserve">Sur un service de vitesse modérée, le joueur contrôle son retour tant en simple qu’en double </w:t>
            </w:r>
            <w:r w:rsidR="00C70C55">
              <w:rPr>
                <w:b/>
                <w:sz w:val="20"/>
              </w:rPr>
              <w:t>–</w:t>
            </w:r>
            <w:r>
              <w:rPr>
                <w:b/>
                <w:sz w:val="20"/>
              </w:rPr>
              <w:t xml:space="preserve"> avec une intention précise. </w:t>
            </w:r>
          </w:p>
        </w:tc>
        <w:tc>
          <w:tcPr>
            <w:tcW w:w="18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0" w:right="47" w:firstLine="0"/>
            </w:pPr>
            <w:r>
              <w:rPr>
                <w:b/>
                <w:sz w:val="20"/>
              </w:rPr>
              <w:t>Réussi</w:t>
            </w:r>
            <w:r w:rsidR="00C70C55">
              <w:rPr>
                <w:b/>
                <w:sz w:val="20"/>
              </w:rPr>
              <w:t>t</w:t>
            </w:r>
            <w:r>
              <w:rPr>
                <w:b/>
                <w:sz w:val="20"/>
              </w:rPr>
              <w:t xml:space="preserve"> bien la volée du coup droit sur balle facile</w:t>
            </w:r>
            <w:r w:rsidR="00C70C55">
              <w:rPr>
                <w:b/>
                <w:sz w:val="20"/>
              </w:rPr>
              <w:t> </w:t>
            </w:r>
            <w:r>
              <w:rPr>
                <w:b/>
                <w:sz w:val="20"/>
              </w:rPr>
              <w:t>; la volée dominante est efficace</w:t>
            </w:r>
            <w:r w:rsidR="00C70C55">
              <w:rPr>
                <w:b/>
                <w:sz w:val="20"/>
              </w:rPr>
              <w:t>,</w:t>
            </w:r>
            <w:r>
              <w:rPr>
                <w:b/>
                <w:sz w:val="20"/>
              </w:rPr>
              <w:t xml:space="preserve"> mais ne permet pas de finir le point. La volée est déficiente sur les balles basses ou éloignées. Réussi</w:t>
            </w:r>
            <w:r w:rsidR="00C70C55">
              <w:rPr>
                <w:b/>
                <w:sz w:val="20"/>
              </w:rPr>
              <w:t>t</w:t>
            </w:r>
            <w:r>
              <w:rPr>
                <w:b/>
                <w:sz w:val="20"/>
              </w:rPr>
              <w:t xml:space="preserve"> bien le smash sur balles faciles. </w:t>
            </w:r>
          </w:p>
        </w:tc>
        <w:tc>
          <w:tcPr>
            <w:tcW w:w="21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1" w:right="0" w:firstLine="0"/>
            </w:pPr>
            <w:r>
              <w:rPr>
                <w:b/>
                <w:sz w:val="20"/>
              </w:rPr>
              <w:t xml:space="preserve">La 1re balle de service est réussie à plus de 50%. Le 2e service est plus lent. </w:t>
            </w:r>
          </w:p>
        </w:tc>
      </w:tr>
      <w:tr w:rsidR="00000120" w:rsidTr="00911E1F">
        <w:trPr>
          <w:trHeight w:val="277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0" w:right="47" w:firstLine="0"/>
              <w:jc w:val="center"/>
            </w:pPr>
            <w:r>
              <w:rPr>
                <w:b/>
              </w:rPr>
              <w:t xml:space="preserve">3.5 </w:t>
            </w:r>
          </w:p>
        </w:tc>
        <w:tc>
          <w:tcPr>
            <w:tcW w:w="1772"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0" w:firstLine="0"/>
            </w:pPr>
            <w:r>
              <w:rPr>
                <w:b/>
                <w:sz w:val="20"/>
              </w:rPr>
              <w:t>Le joueur est apte à déplacer l’adversaire ou à retourner les balles faciles avec plus de puissance. Réussi</w:t>
            </w:r>
            <w:r w:rsidR="00C70C55">
              <w:rPr>
                <w:b/>
                <w:sz w:val="20"/>
              </w:rPr>
              <w:t>t</w:t>
            </w:r>
            <w:r>
              <w:rPr>
                <w:b/>
                <w:sz w:val="20"/>
              </w:rPr>
              <w:t xml:space="preserve"> plus de 50% de ses coups d’approche. </w:t>
            </w:r>
          </w:p>
        </w:tc>
        <w:tc>
          <w:tcPr>
            <w:tcW w:w="1876"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0" w:firstLine="0"/>
            </w:pPr>
            <w:r>
              <w:rPr>
                <w:b/>
                <w:sz w:val="20"/>
              </w:rPr>
              <w:t xml:space="preserve">Peut retourner défensivement les services rapides ou éloignés. Sur 2e balle facile, le joueur retourne en puissance ou en précision. En double, son retour est parfois suivi d’une montée au filet. </w:t>
            </w:r>
          </w:p>
        </w:tc>
        <w:tc>
          <w:tcPr>
            <w:tcW w:w="189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0" w:right="0" w:firstLine="0"/>
            </w:pPr>
            <w:r>
              <w:rPr>
                <w:b/>
                <w:sz w:val="20"/>
              </w:rPr>
              <w:t>Au filet, le joueur est à l’aise : peut diriger sa volée du coup droit</w:t>
            </w:r>
            <w:r w:rsidR="00C70C55">
              <w:rPr>
                <w:b/>
                <w:sz w:val="20"/>
              </w:rPr>
              <w:t> </w:t>
            </w:r>
            <w:r>
              <w:rPr>
                <w:b/>
                <w:sz w:val="20"/>
              </w:rPr>
              <w:t>; au revers, il la dirige aussi</w:t>
            </w:r>
            <w:r w:rsidR="00C70C55">
              <w:rPr>
                <w:b/>
                <w:sz w:val="20"/>
              </w:rPr>
              <w:t>,</w:t>
            </w:r>
            <w:r>
              <w:rPr>
                <w:b/>
                <w:sz w:val="20"/>
              </w:rPr>
              <w:t xml:space="preserve"> mais sans conviction. Exécute des volées et des smashs qui exigent de courts déplacements. </w:t>
            </w:r>
          </w:p>
        </w:tc>
        <w:tc>
          <w:tcPr>
            <w:tcW w:w="2159"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12" w:firstLine="0"/>
            </w:pPr>
            <w:r>
              <w:rPr>
                <w:b/>
                <w:sz w:val="20"/>
              </w:rPr>
              <w:t xml:space="preserve">Peut varier la vitesse et la direction de son 1er service. Peut aussi diriger son 2e service sur la faiblesse de l’adversaire. Les doubles fautes sont peu fréquentes. </w:t>
            </w:r>
          </w:p>
        </w:tc>
      </w:tr>
      <w:tr w:rsidR="00000120" w:rsidTr="00BD29C6">
        <w:trPr>
          <w:trHeight w:val="3734"/>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0" w:right="47" w:firstLine="0"/>
              <w:jc w:val="center"/>
            </w:pPr>
            <w:r>
              <w:rPr>
                <w:b/>
              </w:rPr>
              <w:t xml:space="preserve">4.0 </w:t>
            </w:r>
          </w:p>
        </w:tc>
        <w:tc>
          <w:tcPr>
            <w:tcW w:w="17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1" w:right="17" w:firstLine="0"/>
            </w:pPr>
            <w:r>
              <w:rPr>
                <w:b/>
                <w:sz w:val="20"/>
              </w:rPr>
              <w:t xml:space="preserve">Peut préparer ses points de façon constante, grâce à une bonne variété de coups. Il est toutefois erratique en situations plus difficiles : balles rapides, éloignées, situation de jeu contre un adversaire au filet. </w:t>
            </w:r>
          </w:p>
        </w:tc>
        <w:tc>
          <w:tcPr>
            <w:tcW w:w="18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1" w:right="0" w:firstLine="0"/>
            </w:pPr>
            <w:r>
              <w:rPr>
                <w:b/>
                <w:sz w:val="20"/>
              </w:rPr>
              <w:t>A de la difficulté à retourner les services très puissant</w:t>
            </w:r>
            <w:r w:rsidR="00C70C55">
              <w:rPr>
                <w:b/>
                <w:sz w:val="20"/>
              </w:rPr>
              <w:t>s</w:t>
            </w:r>
            <w:r>
              <w:rPr>
                <w:b/>
                <w:sz w:val="20"/>
              </w:rPr>
              <w:t xml:space="preserve"> ou avec effets. Son retour lui permet de prendre l’initiative du point, d’exploiter une faiblesse de l’adversaire. En double, sur des balles de vitesse modérée, ses retours sont variés et efficaces. </w:t>
            </w:r>
          </w:p>
        </w:tc>
        <w:tc>
          <w:tcPr>
            <w:tcW w:w="18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0" w:right="0" w:firstLine="0"/>
            </w:pPr>
            <w:r>
              <w:rPr>
                <w:b/>
                <w:sz w:val="20"/>
              </w:rPr>
              <w:t>En simple le joueur est à l’aise avec le jeu de filet. En double, il adopte une attitude offensive sur différents types de balles</w:t>
            </w:r>
            <w:r w:rsidR="00C70C55">
              <w:rPr>
                <w:b/>
                <w:sz w:val="20"/>
              </w:rPr>
              <w:t> </w:t>
            </w:r>
            <w:r>
              <w:rPr>
                <w:b/>
                <w:sz w:val="20"/>
              </w:rPr>
              <w:t xml:space="preserve">; peut intercepter les retours de services faciles. Sur des lobs faciles, son smash lui permet de finir le point. </w:t>
            </w:r>
          </w:p>
        </w:tc>
        <w:tc>
          <w:tcPr>
            <w:tcW w:w="21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1" w:right="0" w:firstLine="0"/>
            </w:pPr>
            <w:r>
              <w:rPr>
                <w:b/>
                <w:sz w:val="20"/>
              </w:rPr>
              <w:t xml:space="preserve">Peut varier la vitesse ou la direction de son 1er service. Utilise les services à effets. </w:t>
            </w:r>
          </w:p>
        </w:tc>
      </w:tr>
      <w:bookmarkEnd w:id="0"/>
    </w:tbl>
    <w:p w:rsidR="00000120" w:rsidRDefault="00000120">
      <w:pPr>
        <w:spacing w:after="0" w:line="259" w:lineRule="auto"/>
        <w:ind w:left="0" w:right="0" w:firstLine="0"/>
        <w:jc w:val="both"/>
      </w:pPr>
    </w:p>
    <w:tbl>
      <w:tblPr>
        <w:tblStyle w:val="TableGrid"/>
        <w:tblW w:w="9467" w:type="dxa"/>
        <w:jc w:val="center"/>
        <w:tblInd w:w="0" w:type="dxa"/>
        <w:tblLayout w:type="fixed"/>
        <w:tblCellMar>
          <w:left w:w="107" w:type="dxa"/>
          <w:right w:w="64" w:type="dxa"/>
        </w:tblCellMar>
        <w:tblLook w:val="04A0" w:firstRow="1" w:lastRow="0" w:firstColumn="1" w:lastColumn="0" w:noHBand="0" w:noVBand="1"/>
      </w:tblPr>
      <w:tblGrid>
        <w:gridCol w:w="1770"/>
        <w:gridCol w:w="1772"/>
        <w:gridCol w:w="1876"/>
        <w:gridCol w:w="1890"/>
        <w:gridCol w:w="2159"/>
      </w:tblGrid>
      <w:tr w:rsidR="00000120" w:rsidTr="00911E1F">
        <w:trPr>
          <w:trHeight w:val="3918"/>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0" w:right="47" w:firstLine="0"/>
              <w:jc w:val="center"/>
            </w:pPr>
            <w:r>
              <w:rPr>
                <w:b/>
              </w:rPr>
              <w:lastRenderedPageBreak/>
              <w:t xml:space="preserve">4.5 </w:t>
            </w:r>
          </w:p>
        </w:tc>
        <w:tc>
          <w:tcPr>
            <w:tcW w:w="1772"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36" w:firstLine="0"/>
            </w:pPr>
            <w:r>
              <w:rPr>
                <w:b/>
                <w:sz w:val="20"/>
              </w:rPr>
              <w:t xml:space="preserve">Sait utiliser plusieurs effets de balles. Commence à développer un coup dominant ou encore une bonne constance. Peut difficilement réussir des bons coups dans 2 des 3 cas suivants : balle rapide, balle éloignée ou en situation de jeu contre un adversaire au filet. </w:t>
            </w:r>
          </w:p>
        </w:tc>
        <w:tc>
          <w:tcPr>
            <w:tcW w:w="1876"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0" w:firstLine="0"/>
            </w:pPr>
            <w:r>
              <w:rPr>
                <w:b/>
                <w:sz w:val="20"/>
              </w:rPr>
              <w:t>Retourne régulièrement les 1ers services</w:t>
            </w:r>
            <w:r w:rsidR="00C70C55">
              <w:rPr>
                <w:b/>
                <w:sz w:val="20"/>
              </w:rPr>
              <w:t>,</w:t>
            </w:r>
            <w:r>
              <w:rPr>
                <w:b/>
                <w:sz w:val="20"/>
              </w:rPr>
              <w:t xml:space="preserve"> mais lorsqu’il tente un retour plus puissant, n’obtient pas 30% de réussites. En double, son retour n’est pas suffisam</w:t>
            </w:r>
            <w:r w:rsidR="00C70C55">
              <w:rPr>
                <w:b/>
                <w:sz w:val="20"/>
              </w:rPr>
              <w:t>m</w:t>
            </w:r>
            <w:r>
              <w:rPr>
                <w:b/>
                <w:sz w:val="20"/>
              </w:rPr>
              <w:t xml:space="preserve">ent bas (moins de 50% de réussites). </w:t>
            </w:r>
          </w:p>
        </w:tc>
        <w:tc>
          <w:tcPr>
            <w:tcW w:w="1890"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41" w:line="240" w:lineRule="auto"/>
              <w:ind w:left="0" w:right="0" w:firstLine="0"/>
            </w:pPr>
            <w:r>
              <w:rPr>
                <w:b/>
                <w:sz w:val="20"/>
              </w:rPr>
              <w:t xml:space="preserve">En double, le joueur fait le </w:t>
            </w:r>
          </w:p>
          <w:p w:rsidR="00000120" w:rsidRDefault="00BD29C6">
            <w:pPr>
              <w:spacing w:after="0" w:line="259" w:lineRule="auto"/>
              <w:ind w:left="0" w:right="37" w:firstLine="0"/>
            </w:pPr>
            <w:r>
              <w:rPr>
                <w:b/>
                <w:sz w:val="20"/>
              </w:rPr>
              <w:t>“service-volée”</w:t>
            </w:r>
            <w:r w:rsidR="00C70C55">
              <w:rPr>
                <w:b/>
                <w:sz w:val="20"/>
              </w:rPr>
              <w:t> </w:t>
            </w:r>
            <w:r>
              <w:rPr>
                <w:b/>
                <w:sz w:val="20"/>
              </w:rPr>
              <w:t xml:space="preserve">; la volée d’approche n’est cependant ni puissante ni profonde. Lorsque la balle reçue est puissante ou en angle, il est irrégulier. Au filet, il peut finir le point grâce à une variété de volées : en angle, amortie ou frappée. </w:t>
            </w:r>
          </w:p>
        </w:tc>
        <w:tc>
          <w:tcPr>
            <w:tcW w:w="2159" w:type="dxa"/>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1" w:right="43" w:firstLine="0"/>
            </w:pPr>
            <w:r>
              <w:rPr>
                <w:b/>
                <w:sz w:val="20"/>
              </w:rPr>
              <w:t>Possède un 1er service puissant ou à effets. Le 2e service est souvent précis et profond. Ne fait pas de doubles fautes. En double, la 1re balle de service est suivie d’une montée au filet</w:t>
            </w:r>
            <w:r w:rsidR="00C70C55">
              <w:rPr>
                <w:b/>
                <w:sz w:val="20"/>
              </w:rPr>
              <w:t>,</w:t>
            </w:r>
            <w:r>
              <w:rPr>
                <w:b/>
                <w:sz w:val="20"/>
              </w:rPr>
              <w:t xml:space="preserve"> mais les erreurs sont encore fréquentes. </w:t>
            </w:r>
          </w:p>
        </w:tc>
      </w:tr>
      <w:tr w:rsidR="00000120" w:rsidTr="00BD29C6">
        <w:trPr>
          <w:trHeight w:val="39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0" w:right="47" w:firstLine="0"/>
              <w:jc w:val="center"/>
            </w:pPr>
            <w:r>
              <w:rPr>
                <w:b/>
              </w:rPr>
              <w:t xml:space="preserve">5.0 </w:t>
            </w:r>
          </w:p>
        </w:tc>
        <w:tc>
          <w:tcPr>
            <w:tcW w:w="17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1" w:right="44" w:firstLine="0"/>
            </w:pPr>
            <w:r>
              <w:rPr>
                <w:b/>
                <w:sz w:val="20"/>
              </w:rPr>
              <w:t>Réussit des échanges de 10 coups consécutifs à cadence plus élevée. Très régulier ou possède un coup dominant. Il réussit 50% de ses contre</w:t>
            </w:r>
            <w:r w:rsidR="00C70C55">
              <w:rPr>
                <w:b/>
                <w:sz w:val="20"/>
              </w:rPr>
              <w:t>-</w:t>
            </w:r>
            <w:r>
              <w:rPr>
                <w:b/>
                <w:sz w:val="20"/>
              </w:rPr>
              <w:t xml:space="preserve">attaques sur des balles difficiles : rapides, éloignées ou en situation de jeu contre un adversaire au filet. </w:t>
            </w:r>
          </w:p>
        </w:tc>
        <w:tc>
          <w:tcPr>
            <w:tcW w:w="18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40" w:lineRule="auto"/>
              <w:ind w:left="1" w:right="0" w:firstLine="0"/>
            </w:pPr>
            <w:r>
              <w:rPr>
                <w:b/>
                <w:sz w:val="20"/>
              </w:rPr>
              <w:t xml:space="preserve">Sur réception de 1ers services vers </w:t>
            </w:r>
          </w:p>
          <w:p w:rsidR="00000120" w:rsidRDefault="00BD29C6">
            <w:pPr>
              <w:spacing w:after="0" w:line="259" w:lineRule="auto"/>
              <w:ind w:left="1" w:right="37" w:firstLine="0"/>
            </w:pPr>
            <w:r>
              <w:rPr>
                <w:b/>
                <w:sz w:val="20"/>
              </w:rPr>
              <w:t>son coup dominant, le joueur réussit un retour de qualité une fois sur deux (50%). En double, il réussit à diriger la balle aux pieds de ses adversaires.</w:t>
            </w:r>
            <w:r>
              <w:rPr>
                <w:b/>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0" w:right="0" w:firstLine="0"/>
            </w:pPr>
            <w:r>
              <w:rPr>
                <w:b/>
                <w:sz w:val="20"/>
              </w:rPr>
              <w:t xml:space="preserve">En double, ce joueur réussit bien le “service-volée”: sa première volée est profonde et dirigée en croisé. Réussit bien le smash, peu importe sa position sur le terrain. </w:t>
            </w:r>
          </w:p>
        </w:tc>
        <w:tc>
          <w:tcPr>
            <w:tcW w:w="21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1" w:right="0" w:firstLine="0"/>
            </w:pPr>
            <w:r>
              <w:rPr>
                <w:b/>
                <w:sz w:val="20"/>
              </w:rPr>
              <w:t xml:space="preserve">Ce joueur possède un 1er service efficace lui permettant de gagner des points ou de provoquer des retours faciles. La qualité du 2e service réduit le risque de retours offensifs. Lors du 1er service, en double, l’enchaînement service-volée est efficace. </w:t>
            </w:r>
          </w:p>
        </w:tc>
      </w:tr>
      <w:tr w:rsidR="00000120" w:rsidTr="00911E1F">
        <w:trPr>
          <w:trHeight w:val="1666"/>
          <w:jc w:val="center"/>
        </w:trPr>
        <w:tc>
          <w:tcPr>
            <w:tcW w:w="9467" w:type="dxa"/>
            <w:gridSpan w:val="5"/>
            <w:tcBorders>
              <w:top w:val="single" w:sz="4" w:space="0" w:color="000000"/>
              <w:left w:val="single" w:sz="4" w:space="0" w:color="000000"/>
              <w:bottom w:val="single" w:sz="4" w:space="0" w:color="000000"/>
              <w:right w:val="single" w:sz="4" w:space="0" w:color="000000"/>
            </w:tcBorders>
            <w:shd w:val="clear" w:color="auto" w:fill="92D050"/>
          </w:tcPr>
          <w:p w:rsidR="00000120" w:rsidRDefault="00BD29C6">
            <w:pPr>
              <w:spacing w:after="0" w:line="259" w:lineRule="auto"/>
              <w:ind w:left="0" w:right="0" w:firstLine="0"/>
            </w:pPr>
            <w:r>
              <w:rPr>
                <w:b/>
              </w:rPr>
              <w:t xml:space="preserve">         5.5                           </w:t>
            </w:r>
            <w:r>
              <w:rPr>
                <w:b/>
                <w:sz w:val="20"/>
              </w:rPr>
              <w:t xml:space="preserve">Ce joueur a développé un style de jeu identifiable : “attaquant de fond de terrain”, joueur polyvalent, joueur “service-volée” ou relanceur de fond de terrain. Il a une bonne anticipation technique (“lecture” du service adverse, position de l’adversaire) et tactique (réactions de l’adversaire en situation spécifique). Il n’a pas de faiblesse majeure. Il réussit à contre-attaquer des balles difficiles ou profondes et réussit bien en situation de jeu contre un adversaire au filet. Ce joueur peut jouer les tournois provinciaux classe ouverte. Il est capable d’exploiter les faiblesses de ses adversaires grâce à la variété de son jeu ou en utilisant des coups spécifiques </w:t>
            </w:r>
            <w:r w:rsidR="00C70C55">
              <w:rPr>
                <w:b/>
                <w:sz w:val="20"/>
              </w:rPr>
              <w:t>–</w:t>
            </w:r>
            <w:r>
              <w:rPr>
                <w:b/>
                <w:sz w:val="20"/>
              </w:rPr>
              <w:t xml:space="preserve"> drop-shot, lob, coups en angle, balles lentes, etc.</w:t>
            </w:r>
            <w:r>
              <w:rPr>
                <w:b/>
              </w:rPr>
              <w:t xml:space="preserve"> </w:t>
            </w:r>
          </w:p>
        </w:tc>
      </w:tr>
      <w:tr w:rsidR="00000120" w:rsidTr="00BD29C6">
        <w:trPr>
          <w:trHeight w:val="1436"/>
          <w:jc w:val="center"/>
        </w:trPr>
        <w:tc>
          <w:tcPr>
            <w:tcW w:w="9467"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00120" w:rsidRDefault="00BD29C6">
            <w:pPr>
              <w:spacing w:after="0" w:line="259" w:lineRule="auto"/>
              <w:ind w:left="0" w:right="5" w:firstLine="0"/>
            </w:pPr>
            <w:r>
              <w:rPr>
                <w:b/>
              </w:rPr>
              <w:t xml:space="preserve">     6.0 à 7.0                      </w:t>
            </w:r>
            <w:r>
              <w:rPr>
                <w:b/>
                <w:sz w:val="20"/>
              </w:rPr>
              <w:t>À ce niveau l’autoévaluation devient superflue. Les classements (provincial, national, international) présents ou passés sont un meilleur indicateur. Le joueur de niveau 6.0 a suivi un entr</w:t>
            </w:r>
            <w:r w:rsidR="00C70C55">
              <w:rPr>
                <w:b/>
                <w:sz w:val="20"/>
              </w:rPr>
              <w:t>aîne</w:t>
            </w:r>
            <w:r>
              <w:rPr>
                <w:b/>
                <w:sz w:val="20"/>
              </w:rPr>
              <w:t>ment intensif en vue de compétitionner au niveau junior national, dans les circuits univers</w:t>
            </w:r>
            <w:r w:rsidR="00C70C55">
              <w:rPr>
                <w:b/>
                <w:sz w:val="20"/>
              </w:rPr>
              <w:t>it</w:t>
            </w:r>
            <w:r>
              <w:rPr>
                <w:b/>
                <w:sz w:val="20"/>
              </w:rPr>
              <w:t>aires, ou a obtenu un classement national. Le joueur de niveau 6.5 a une solide expérience des tournois internationaux classe ouverte (circuits satellites ou challengers.) Le joueur de niveau 7.0 est un joueur profession</w:t>
            </w:r>
            <w:r w:rsidR="00C70C55">
              <w:rPr>
                <w:b/>
                <w:sz w:val="20"/>
              </w:rPr>
              <w:t>n</w:t>
            </w:r>
            <w:r>
              <w:rPr>
                <w:b/>
                <w:sz w:val="20"/>
              </w:rPr>
              <w:t>el de calibre international.</w:t>
            </w:r>
            <w:r>
              <w:rPr>
                <w:b/>
              </w:rPr>
              <w:t xml:space="preserve"> </w:t>
            </w:r>
          </w:p>
        </w:tc>
      </w:tr>
    </w:tbl>
    <w:p w:rsidR="008A6806" w:rsidRDefault="008A6806"/>
    <w:p w:rsidR="003D67BF" w:rsidRDefault="003D67BF" w:rsidP="003D67BF">
      <w:pPr>
        <w:shd w:val="clear" w:color="auto" w:fill="FFFFFF"/>
        <w:spacing w:before="120" w:after="120" w:line="264" w:lineRule="atLeast"/>
        <w:ind w:left="0" w:right="0" w:firstLine="0"/>
        <w:outlineLvl w:val="3"/>
        <w:rPr>
          <w:rFonts w:ascii="Arial" w:hAnsi="Arial" w:cs="Arial"/>
          <w:b/>
          <w:bCs/>
          <w:color w:val="333333"/>
          <w:sz w:val="32"/>
          <w:szCs w:val="32"/>
        </w:rPr>
      </w:pPr>
    </w:p>
    <w:p w:rsidR="005F71FB" w:rsidRDefault="005F71FB" w:rsidP="00BD29C6">
      <w:pPr>
        <w:shd w:val="clear" w:color="auto" w:fill="FFFFFF"/>
        <w:spacing w:before="120" w:after="120" w:line="264" w:lineRule="atLeast"/>
        <w:ind w:left="-709" w:right="-445" w:firstLine="0"/>
        <w:outlineLvl w:val="3"/>
        <w:rPr>
          <w:rFonts w:ascii="Arial" w:hAnsi="Arial" w:cs="Arial"/>
          <w:b/>
          <w:bCs/>
          <w:color w:val="333333"/>
          <w:sz w:val="32"/>
          <w:szCs w:val="32"/>
        </w:rPr>
      </w:pPr>
      <w:r>
        <w:rPr>
          <w:rFonts w:ascii="Arial" w:hAnsi="Arial" w:cs="Arial"/>
          <w:b/>
          <w:bCs/>
          <w:color w:val="333333"/>
          <w:sz w:val="32"/>
          <w:szCs w:val="32"/>
        </w:rPr>
        <w:br w:type="page"/>
      </w:r>
    </w:p>
    <w:p w:rsidR="003D67BF" w:rsidRPr="003D67BF" w:rsidRDefault="003D67BF" w:rsidP="00BD29C6">
      <w:pPr>
        <w:shd w:val="clear" w:color="auto" w:fill="FFFFFF"/>
        <w:spacing w:before="120" w:after="120" w:line="264" w:lineRule="atLeast"/>
        <w:ind w:left="-709" w:right="-445" w:firstLine="0"/>
        <w:outlineLvl w:val="3"/>
        <w:rPr>
          <w:rFonts w:ascii="Arial" w:hAnsi="Arial" w:cs="Arial"/>
          <w:b/>
          <w:bCs/>
          <w:color w:val="333333"/>
          <w:sz w:val="32"/>
          <w:szCs w:val="32"/>
        </w:rPr>
      </w:pPr>
      <w:r w:rsidRPr="003D67BF">
        <w:rPr>
          <w:rFonts w:ascii="Arial" w:hAnsi="Arial" w:cs="Arial"/>
          <w:b/>
          <w:bCs/>
          <w:color w:val="333333"/>
          <w:sz w:val="32"/>
          <w:szCs w:val="32"/>
        </w:rPr>
        <w:lastRenderedPageBreak/>
        <w:t>Tableau de correspondance entre différentes échelles d’évaluation</w:t>
      </w:r>
    </w:p>
    <w:p w:rsidR="003D67BF" w:rsidRPr="003D67BF" w:rsidRDefault="003D67BF" w:rsidP="003D67BF">
      <w:pPr>
        <w:shd w:val="clear" w:color="auto" w:fill="FFFFFF"/>
        <w:spacing w:after="0" w:line="240" w:lineRule="auto"/>
        <w:ind w:left="0" w:right="0" w:firstLine="0"/>
        <w:rPr>
          <w:rFonts w:ascii="Arial" w:hAnsi="Arial" w:cs="Arial"/>
          <w:sz w:val="21"/>
          <w:szCs w:val="21"/>
        </w:rPr>
      </w:pPr>
    </w:p>
    <w:tbl>
      <w:tblPr>
        <w:tblpPr w:leftFromText="142" w:rightFromText="142" w:vertAnchor="text" w:horzAnchor="margin" w:tblpXSpec="center" w:tblpY="1"/>
        <w:tblW w:w="5671" w:type="dxa"/>
        <w:shd w:val="clear" w:color="auto" w:fill="FFFFFF"/>
        <w:tblCellMar>
          <w:left w:w="0" w:type="dxa"/>
          <w:right w:w="0" w:type="dxa"/>
        </w:tblCellMar>
        <w:tblLook w:val="04A0" w:firstRow="1" w:lastRow="0" w:firstColumn="1" w:lastColumn="0" w:noHBand="0" w:noVBand="1"/>
      </w:tblPr>
      <w:tblGrid>
        <w:gridCol w:w="2245"/>
        <w:gridCol w:w="1779"/>
        <w:gridCol w:w="1647"/>
      </w:tblGrid>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240" w:lineRule="auto"/>
              <w:ind w:left="0" w:right="0" w:firstLine="0"/>
              <w:jc w:val="center"/>
              <w:rPr>
                <w:color w:val="008080"/>
                <w:szCs w:val="24"/>
              </w:rPr>
            </w:pPr>
            <w:r w:rsidRPr="00BD29C6">
              <w:rPr>
                <w:b/>
                <w:bCs/>
                <w:color w:val="008080"/>
                <w:szCs w:val="24"/>
                <w:bdr w:val="none" w:sz="0" w:space="0" w:color="auto" w:frame="1"/>
              </w:rPr>
              <w:t>TENNIS CANADA</w:t>
            </w:r>
          </w:p>
        </w:tc>
        <w:tc>
          <w:tcPr>
            <w:tcW w:w="1779"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240" w:lineRule="auto"/>
              <w:ind w:left="0" w:right="0" w:firstLine="0"/>
              <w:jc w:val="center"/>
              <w:rPr>
                <w:color w:val="008080"/>
                <w:szCs w:val="24"/>
              </w:rPr>
            </w:pPr>
            <w:r w:rsidRPr="00BD29C6">
              <w:rPr>
                <w:b/>
                <w:bCs/>
                <w:color w:val="008080"/>
                <w:szCs w:val="24"/>
                <w:bdr w:val="none" w:sz="0" w:space="0" w:color="auto" w:frame="1"/>
              </w:rPr>
              <w:t>NIVEAU</w:t>
            </w:r>
          </w:p>
        </w:tc>
        <w:tc>
          <w:tcPr>
            <w:tcW w:w="1647"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240" w:lineRule="auto"/>
              <w:ind w:left="0" w:right="0" w:firstLine="0"/>
              <w:jc w:val="center"/>
              <w:rPr>
                <w:color w:val="008080"/>
                <w:szCs w:val="24"/>
              </w:rPr>
            </w:pPr>
            <w:r w:rsidRPr="00BD29C6">
              <w:rPr>
                <w:b/>
                <w:bCs/>
                <w:color w:val="008080"/>
                <w:szCs w:val="24"/>
                <w:bdr w:val="none" w:sz="0" w:space="0" w:color="auto" w:frame="1"/>
              </w:rPr>
              <w:t>CATÉGORIE</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1.0</w:t>
            </w:r>
          </w:p>
        </w:tc>
        <w:tc>
          <w:tcPr>
            <w:tcW w:w="1779"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Débutant</w:t>
            </w:r>
          </w:p>
        </w:tc>
        <w:tc>
          <w:tcPr>
            <w:tcW w:w="1647"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E »</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1.1 à 1.5</w:t>
            </w:r>
          </w:p>
        </w:tc>
        <w:tc>
          <w:tcPr>
            <w:tcW w:w="1779"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Initié 1</w:t>
            </w:r>
          </w:p>
        </w:tc>
        <w:tc>
          <w:tcPr>
            <w:tcW w:w="1647"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D</w:t>
            </w:r>
            <w:r w:rsidR="00C70C55">
              <w:rPr>
                <w:sz w:val="20"/>
                <w:szCs w:val="20"/>
              </w:rPr>
              <w:t>-</w:t>
            </w:r>
            <w:r w:rsidRPr="003D67BF">
              <w:rPr>
                <w:sz w:val="20"/>
                <w:szCs w:val="20"/>
              </w:rPr>
              <w:t> »</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1.6 à 2.0</w:t>
            </w:r>
          </w:p>
        </w:tc>
        <w:tc>
          <w:tcPr>
            <w:tcW w:w="1779"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Initié 2</w:t>
            </w:r>
          </w:p>
        </w:tc>
        <w:tc>
          <w:tcPr>
            <w:tcW w:w="1647"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D »</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2.1 à 2.5</w:t>
            </w:r>
          </w:p>
        </w:tc>
        <w:tc>
          <w:tcPr>
            <w:tcW w:w="1779"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Initié 3</w:t>
            </w:r>
          </w:p>
        </w:tc>
        <w:tc>
          <w:tcPr>
            <w:tcW w:w="1647"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D+ »</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2.6 à 3.0</w:t>
            </w:r>
          </w:p>
        </w:tc>
        <w:tc>
          <w:tcPr>
            <w:tcW w:w="1779"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Moyen 1</w:t>
            </w:r>
          </w:p>
        </w:tc>
        <w:tc>
          <w:tcPr>
            <w:tcW w:w="1647"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C</w:t>
            </w:r>
            <w:r w:rsidR="00C70C55">
              <w:rPr>
                <w:sz w:val="20"/>
                <w:szCs w:val="20"/>
              </w:rPr>
              <w:t>-</w:t>
            </w:r>
            <w:r w:rsidRPr="003D67BF">
              <w:rPr>
                <w:sz w:val="20"/>
                <w:szCs w:val="20"/>
              </w:rPr>
              <w:t> »</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3.1 à 3.5</w:t>
            </w:r>
          </w:p>
        </w:tc>
        <w:tc>
          <w:tcPr>
            <w:tcW w:w="1779"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Moyen 2</w:t>
            </w:r>
          </w:p>
        </w:tc>
        <w:tc>
          <w:tcPr>
            <w:tcW w:w="1647"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C »</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3.6 à 4.0</w:t>
            </w:r>
          </w:p>
        </w:tc>
        <w:tc>
          <w:tcPr>
            <w:tcW w:w="1779"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Intermédiaire 1</w:t>
            </w:r>
          </w:p>
        </w:tc>
        <w:tc>
          <w:tcPr>
            <w:tcW w:w="1647" w:type="dxa"/>
            <w:tcBorders>
              <w:top w:val="outset" w:sz="2" w:space="0" w:color="auto"/>
              <w:left w:val="outset" w:sz="2" w:space="0" w:color="auto"/>
              <w:bottom w:val="dotted" w:sz="6" w:space="0" w:color="CCCCCC"/>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C+ »</w:t>
            </w:r>
          </w:p>
        </w:tc>
      </w:tr>
      <w:tr w:rsidR="003D67BF" w:rsidRPr="003D67BF" w:rsidTr="00BD29C6">
        <w:tc>
          <w:tcPr>
            <w:tcW w:w="2245"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4.1 à 4.5</w:t>
            </w:r>
          </w:p>
        </w:tc>
        <w:tc>
          <w:tcPr>
            <w:tcW w:w="1779"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Intermédiaire 2</w:t>
            </w:r>
          </w:p>
        </w:tc>
        <w:tc>
          <w:tcPr>
            <w:tcW w:w="1647" w:type="dxa"/>
            <w:tcBorders>
              <w:top w:val="outset" w:sz="2" w:space="0" w:color="auto"/>
              <w:left w:val="outset" w:sz="2" w:space="0" w:color="auto"/>
              <w:bottom w:val="dotted" w:sz="6" w:space="0" w:color="CCCCCC"/>
              <w:right w:val="outset" w:sz="2"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B</w:t>
            </w:r>
            <w:r w:rsidR="00C70C55">
              <w:rPr>
                <w:sz w:val="20"/>
                <w:szCs w:val="20"/>
              </w:rPr>
              <w:t>-</w:t>
            </w:r>
            <w:r w:rsidRPr="003D67BF">
              <w:rPr>
                <w:sz w:val="20"/>
                <w:szCs w:val="20"/>
              </w:rPr>
              <w:t xml:space="preserve"> et B »</w:t>
            </w:r>
          </w:p>
        </w:tc>
      </w:tr>
      <w:tr w:rsidR="003D67BF" w:rsidRPr="003D67BF" w:rsidTr="00BD29C6">
        <w:tc>
          <w:tcPr>
            <w:tcW w:w="2245" w:type="dxa"/>
            <w:tcBorders>
              <w:top w:val="outset" w:sz="2" w:space="0" w:color="auto"/>
              <w:left w:val="outset" w:sz="2" w:space="0" w:color="auto"/>
              <w:bottom w:val="single" w:sz="4" w:space="0" w:color="auto"/>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4.6 à 5.0</w:t>
            </w:r>
          </w:p>
        </w:tc>
        <w:tc>
          <w:tcPr>
            <w:tcW w:w="1779" w:type="dxa"/>
            <w:tcBorders>
              <w:top w:val="outset" w:sz="2" w:space="0" w:color="auto"/>
              <w:left w:val="outset" w:sz="2" w:space="0" w:color="auto"/>
              <w:bottom w:val="single" w:sz="4" w:space="0" w:color="auto"/>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Avancé</w:t>
            </w:r>
          </w:p>
        </w:tc>
        <w:tc>
          <w:tcPr>
            <w:tcW w:w="1647" w:type="dxa"/>
            <w:tcBorders>
              <w:top w:val="outset" w:sz="2" w:space="0" w:color="auto"/>
              <w:left w:val="outset" w:sz="2" w:space="0" w:color="auto"/>
              <w:bottom w:val="single" w:sz="4" w:space="0" w:color="auto"/>
              <w:right w:val="outset" w:sz="2" w:space="0" w:color="auto"/>
            </w:tcBorders>
            <w:shd w:val="clear" w:color="auto" w:fill="E2EFD9" w:themeFill="accent6" w:themeFillTint="33"/>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B+ à A »</w:t>
            </w:r>
          </w:p>
        </w:tc>
      </w:tr>
      <w:tr w:rsidR="003D67BF" w:rsidRPr="003D67BF" w:rsidTr="00BD29C6">
        <w:tc>
          <w:tcPr>
            <w:tcW w:w="2245" w:type="dxa"/>
            <w:tcBorders>
              <w:top w:val="single" w:sz="4" w:space="0" w:color="auto"/>
              <w:left w:val="single" w:sz="4" w:space="0" w:color="auto"/>
              <w:bottom w:val="single" w:sz="4" w:space="0" w:color="auto"/>
              <w:right w:val="single" w:sz="4"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5.1 à 5.5</w:t>
            </w:r>
          </w:p>
        </w:tc>
        <w:tc>
          <w:tcPr>
            <w:tcW w:w="1779" w:type="dxa"/>
            <w:tcBorders>
              <w:top w:val="single" w:sz="4" w:space="0" w:color="auto"/>
              <w:left w:val="single" w:sz="4" w:space="0" w:color="auto"/>
              <w:bottom w:val="single" w:sz="4" w:space="0" w:color="auto"/>
              <w:right w:val="single" w:sz="4"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Très avancé</w:t>
            </w:r>
          </w:p>
        </w:tc>
        <w:tc>
          <w:tcPr>
            <w:tcW w:w="1647" w:type="dxa"/>
            <w:tcBorders>
              <w:top w:val="single" w:sz="4" w:space="0" w:color="auto"/>
              <w:left w:val="single" w:sz="4" w:space="0" w:color="auto"/>
              <w:bottom w:val="single" w:sz="4" w:space="0" w:color="auto"/>
              <w:right w:val="single" w:sz="4" w:space="0" w:color="auto"/>
            </w:tcBorders>
            <w:shd w:val="clear" w:color="auto" w:fill="92D050"/>
            <w:tcMar>
              <w:top w:w="90" w:type="dxa"/>
              <w:left w:w="90" w:type="dxa"/>
              <w:bottom w:w="90" w:type="dxa"/>
              <w:right w:w="90" w:type="dxa"/>
            </w:tcMar>
            <w:vAlign w:val="center"/>
            <w:hideMark/>
          </w:tcPr>
          <w:p w:rsidR="003D67BF" w:rsidRPr="003D67BF" w:rsidRDefault="003D67BF" w:rsidP="003D67BF">
            <w:pPr>
              <w:spacing w:after="0" w:line="312" w:lineRule="atLeast"/>
              <w:ind w:left="0" w:right="0" w:firstLine="0"/>
              <w:jc w:val="center"/>
              <w:rPr>
                <w:sz w:val="20"/>
                <w:szCs w:val="20"/>
              </w:rPr>
            </w:pPr>
            <w:r w:rsidRPr="003D67BF">
              <w:rPr>
                <w:sz w:val="20"/>
                <w:szCs w:val="20"/>
              </w:rPr>
              <w:t>« A »</w:t>
            </w:r>
          </w:p>
        </w:tc>
      </w:tr>
    </w:tbl>
    <w:p w:rsidR="003D67BF" w:rsidRDefault="003D67BF"/>
    <w:sectPr w:rsidR="003D67BF">
      <w:pgSz w:w="12240" w:h="15840"/>
      <w:pgMar w:top="506" w:right="1603" w:bottom="1454"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29" w:rsidRDefault="00E67929" w:rsidP="00C70C55">
      <w:pPr>
        <w:spacing w:after="0" w:line="240" w:lineRule="auto"/>
      </w:pPr>
      <w:r>
        <w:separator/>
      </w:r>
    </w:p>
  </w:endnote>
  <w:endnote w:type="continuationSeparator" w:id="0">
    <w:p w:rsidR="00E67929" w:rsidRDefault="00E67929" w:rsidP="00C7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29" w:rsidRDefault="00E67929" w:rsidP="00C70C55">
      <w:pPr>
        <w:spacing w:after="0" w:line="240" w:lineRule="auto"/>
      </w:pPr>
      <w:r>
        <w:separator/>
      </w:r>
    </w:p>
  </w:footnote>
  <w:footnote w:type="continuationSeparator" w:id="0">
    <w:p w:rsidR="00E67929" w:rsidRDefault="00E67929" w:rsidP="00C70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5FA5"/>
    <w:multiLevelType w:val="hybridMultilevel"/>
    <w:tmpl w:val="F81855CE"/>
    <w:lvl w:ilvl="0" w:tplc="46D480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289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5286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167A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482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7ABF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EE3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66D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0ED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20"/>
    <w:rsid w:val="00000120"/>
    <w:rsid w:val="00241241"/>
    <w:rsid w:val="002E5DAF"/>
    <w:rsid w:val="003D67BF"/>
    <w:rsid w:val="00415C5C"/>
    <w:rsid w:val="00422553"/>
    <w:rsid w:val="0050535D"/>
    <w:rsid w:val="005F71FB"/>
    <w:rsid w:val="00646E0D"/>
    <w:rsid w:val="008A6806"/>
    <w:rsid w:val="00911E1F"/>
    <w:rsid w:val="009D7FA0"/>
    <w:rsid w:val="00BD29C6"/>
    <w:rsid w:val="00C70C55"/>
    <w:rsid w:val="00E65D52"/>
    <w:rsid w:val="00E67929"/>
    <w:rsid w:val="00E914DC"/>
    <w:rsid w:val="00F25F46"/>
    <w:rsid w:val="00FB2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29C52-7C5C-45F3-AF99-39F3F4FD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0" w:right="193" w:hanging="10"/>
    </w:pPr>
    <w:rPr>
      <w:rFonts w:ascii="Times New Roman" w:eastAsia="Times New Roman" w:hAnsi="Times New Roman" w:cs="Times New Roman"/>
      <w:color w:val="000000"/>
      <w:sz w:val="24"/>
    </w:rPr>
  </w:style>
  <w:style w:type="paragraph" w:styleId="Titre4">
    <w:name w:val="heading 4"/>
    <w:basedOn w:val="Normal"/>
    <w:link w:val="Titre4Car"/>
    <w:uiPriority w:val="9"/>
    <w:qFormat/>
    <w:rsid w:val="003D67BF"/>
    <w:pPr>
      <w:spacing w:before="100" w:beforeAutospacing="1" w:after="100" w:afterAutospacing="1" w:line="240" w:lineRule="auto"/>
      <w:ind w:left="0" w:right="0" w:firstLine="0"/>
      <w:outlineLvl w:val="3"/>
    </w:pPr>
    <w:rPr>
      <w:b/>
      <w:bCs/>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22553"/>
    <w:pPr>
      <w:ind w:left="720"/>
      <w:contextualSpacing/>
    </w:pPr>
  </w:style>
  <w:style w:type="character" w:customStyle="1" w:styleId="Titre4Car">
    <w:name w:val="Titre 4 Car"/>
    <w:basedOn w:val="Policepardfaut"/>
    <w:link w:val="Titre4"/>
    <w:uiPriority w:val="9"/>
    <w:rsid w:val="003D67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67BF"/>
    <w:pPr>
      <w:spacing w:before="100" w:beforeAutospacing="1" w:after="100" w:afterAutospacing="1" w:line="240" w:lineRule="auto"/>
      <w:ind w:left="0" w:right="0" w:firstLine="0"/>
    </w:pPr>
    <w:rPr>
      <w:color w:val="auto"/>
      <w:szCs w:val="24"/>
    </w:rPr>
  </w:style>
  <w:style w:type="character" w:styleId="lev">
    <w:name w:val="Strong"/>
    <w:basedOn w:val="Policepardfaut"/>
    <w:uiPriority w:val="22"/>
    <w:qFormat/>
    <w:rsid w:val="003D67BF"/>
    <w:rPr>
      <w:b/>
      <w:bCs/>
    </w:rPr>
  </w:style>
  <w:style w:type="paragraph" w:styleId="En-tte">
    <w:name w:val="header"/>
    <w:basedOn w:val="Normal"/>
    <w:link w:val="En-tteCar"/>
    <w:uiPriority w:val="99"/>
    <w:unhideWhenUsed/>
    <w:rsid w:val="00C70C55"/>
    <w:pPr>
      <w:tabs>
        <w:tab w:val="center" w:pos="4513"/>
        <w:tab w:val="right" w:pos="9026"/>
      </w:tabs>
      <w:spacing w:after="0" w:line="240" w:lineRule="auto"/>
    </w:pPr>
  </w:style>
  <w:style w:type="character" w:customStyle="1" w:styleId="En-tteCar">
    <w:name w:val="En-tête Car"/>
    <w:basedOn w:val="Policepardfaut"/>
    <w:link w:val="En-tte"/>
    <w:uiPriority w:val="99"/>
    <w:rsid w:val="00C70C55"/>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C70C5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70C5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3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ÉCHELLE D’AUTOÉVALUATION</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ÉCHELLE D’AUTOÉVALUATION</dc:title>
  <dc:subject/>
  <dc:creator>Tennis Canada</dc:creator>
  <cp:keywords/>
  <cp:lastModifiedBy>France Gilbert</cp:lastModifiedBy>
  <cp:revision>3</cp:revision>
  <cp:lastPrinted>2017-09-27T17:54:00Z</cp:lastPrinted>
  <dcterms:created xsi:type="dcterms:W3CDTF">2017-09-27T17:54:00Z</dcterms:created>
  <dcterms:modified xsi:type="dcterms:W3CDTF">2018-01-23T23:32:00Z</dcterms:modified>
</cp:coreProperties>
</file>